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792"/>
        <w:gridCol w:w="5328"/>
        <w:gridCol w:w="3168"/>
      </w:tblGrid>
      <w:tr>
        <w:tc>
          <w:tcPr>
            <w:tcW w:type="dxa" w:w="3264"/>
          </w:tcPr>
          <w:p>
            <w:pPr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411480" cy="41148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shield-tight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" cy="41148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5"/>
              </w:rPr>
              <w:t>FOR OUR CHILDREN &amp; FAMILIES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right"/>
            </w:pPr>
            <w:r/>
            <w:r>
              <w:rPr>
                <w:rFonts w:ascii="Aptos" w:hAnsi="Aptos"/>
                <w:b w:val="0"/>
                <w:i w:val="0"/>
                <w:color w:val="56606E"/>
                <w:sz w:val="23"/>
              </w:rPr>
              <w:t>WORKING PAGES</w:t>
            </w:r>
          </w:p>
        </w:tc>
      </w:tr>
    </w:tbl>
    <w:p>
      <w:pPr>
        <w:spacing w:after="200" w:before="40"/>
        <w:jc w:val="center"/>
      </w:pPr>
      <w:r>
        <w:drawing>
          <wp:inline xmlns:a="http://schemas.openxmlformats.org/drawingml/2006/main" xmlns:pic="http://schemas.openxmlformats.org/drawingml/2006/picture">
            <wp:extent cx="6217920" cy="4142689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over-blueheart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17920" cy="414268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before="0" w:after="40" w:line="276" w:lineRule="auto"/>
        <w:jc w:val="center"/>
      </w:pPr>
      <w:r>
        <w:rPr>
          <w:rFonts w:ascii="Aptos" w:hAnsi="Aptos"/>
          <w:b w:val="0"/>
          <w:i w:val="0"/>
          <w:color w:val="56606E"/>
          <w:sz w:val="23"/>
        </w:rPr>
        <w:t>FOR OUR CHILDREN AND FAMILIES</w:t>
      </w:r>
    </w:p>
    <w:p>
      <w:pPr>
        <w:spacing w:before="0" w:after="160" w:line="240" w:lineRule="auto"/>
        <w:jc w:val="center"/>
      </w:pPr>
      <w:r>
        <w:rPr>
          <w:rFonts w:ascii="Aptos" w:hAnsi="Aptos"/>
          <w:b/>
          <w:i w:val="0"/>
          <w:color w:val="1C4778"/>
          <w:sz w:val="49"/>
        </w:rPr>
        <w:t>FOCAF Questions for Calls, Meetings, and Visits</w:t>
      </w:r>
    </w:p>
    <w:p>
      <w:pPr>
        <w:spacing w:before="0" w:after="200" w:line="312" w:lineRule="auto"/>
        <w:jc w:val="center"/>
      </w:pPr>
      <w:r>
        <w:rPr>
          <w:rFonts w:ascii="Aptos" w:hAnsi="Aptos"/>
          <w:b w:val="0"/>
          <w:i/>
          <w:color w:val="56606E"/>
          <w:sz w:val="28"/>
        </w:rPr>
        <w:t>A simple prep-and-follow-up packet for school calls, provider visits, legal-help calls, service meetings, and other family logistics conversations.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  <w:tblBorders>
          <w:top w:val="single" w:sz="10" w:space="0" w:color="A7BDD6"/>
          <w:left w:val="single" w:sz="10" w:space="0" w:color="A7BDD6"/>
          <w:bottom w:val="single" w:sz="10" w:space="0" w:color="A7BDD6"/>
          <w:right w:val="single" w:sz="10" w:space="0" w:color="A7BDD6"/>
          <w:insideH w:val="single" w:sz="10" w:space="0" w:color="A7BDD6"/>
          <w:insideV w:val="single" w:sz="10" w:space="0" w:color="A7BDD6"/>
        </w:tblBorders>
      </w:tblPr>
      <w:tblGrid>
        <w:gridCol w:w="9792"/>
      </w:tblGrid>
      <w:tr>
        <w:tc>
          <w:tcPr>
            <w:tcW w:type="dxa" w:w="9792"/>
            <w:shd w:fill="D9E8F5"/>
          </w:tcPr>
          <w:p>
            <w:pPr>
              <w:spacing w:after="40" w:before="40"/>
            </w:pPr>
            <w:r>
              <w:rPr>
                <w:rFonts w:ascii="Georgia" w:hAnsi="Georgia"/>
                <w:b/>
                <w:color w:val="1C4778"/>
                <w:sz w:val="24"/>
              </w:rPr>
              <w:t>What this packet is for</w:t>
            </w:r>
          </w:p>
          <w:p>
            <w:pPr>
              <w:spacing w:after="0" w:before="0" w:line="269" w:lineRule="auto"/>
            </w:pPr>
            <w:r>
              <w:rPr>
                <w:rFonts w:ascii="Aptos" w:hAnsi="Aptos"/>
                <w:color w:val="222222"/>
                <w:sz w:val="21"/>
              </w:rPr>
              <w:t>Use this to prepare, stay grounded during the conversation, and record the next step afterward. It helps keep important details from getting lost.</w:t>
            </w:r>
          </w:p>
        </w:tc>
      </w:tr>
    </w:tbl>
    <w:p>
      <w:pPr>
        <w:spacing w:after="0"/>
      </w:pPr>
    </w:p>
    <w:p>
      <w:r>
        <w:br w:type="page"/>
      </w:r>
    </w:p>
    <w:p>
      <w:pPr>
        <w:spacing w:before="240" w:after="120"/>
      </w:pPr>
      <w:r>
        <w:rPr>
          <w:rFonts w:ascii="Georgia" w:hAnsi="Georgia"/>
          <w:b/>
          <w:color w:val="1C4778"/>
          <w:sz w:val="34"/>
        </w:rPr>
        <w:t>Start here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D7DDE5"/>
          <w:left w:val="single" w:sz="8" w:space="0" w:color="D7DDE5"/>
          <w:bottom w:val="single" w:sz="8" w:space="0" w:color="D7DDE5"/>
          <w:right w:val="single" w:sz="8" w:space="0" w:color="D7DDE5"/>
          <w:insideH w:val="single" w:sz="8" w:space="0" w:color="D7DDE5"/>
          <w:insideV w:val="single" w:sz="8" w:space="0" w:color="D7DDE5"/>
        </w:tblBorders>
      </w:tblPr>
      <w:tblGrid>
        <w:gridCol w:w="504"/>
        <w:gridCol w:w="8640"/>
      </w:tblGrid>
      <w:tr>
        <w:trPr>
          <w:trHeight w:val="380" w:hRule="atLeast"/>
        </w:trPr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1C4778"/>
                <w:sz w:val="28"/>
              </w:rPr>
              <w:t>☐</w:t>
            </w:r>
          </w:p>
        </w:tc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>Write the one main question you need answered first.</w:t>
            </w:r>
          </w:p>
        </w:tc>
      </w:tr>
      <w:tr>
        <w:trPr>
          <w:trHeight w:val="380" w:hRule="atLeast"/>
        </w:trPr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1C4778"/>
                <w:sz w:val="28"/>
              </w:rPr>
              <w:t>☐</w:t>
            </w:r>
          </w:p>
        </w:tc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>Bring the child’s name, date of birth, and the dates or papers the office may ask about.</w:t>
            </w:r>
          </w:p>
        </w:tc>
      </w:tr>
      <w:tr>
        <w:trPr>
          <w:trHeight w:val="380" w:hRule="atLeast"/>
        </w:trPr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1C4778"/>
                <w:sz w:val="28"/>
              </w:rPr>
              <w:t>☐</w:t>
            </w:r>
          </w:p>
        </w:tc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>Leave room to write the next step in the other person’s words.</w:t>
            </w:r>
          </w:p>
        </w:tc>
      </w:tr>
      <w:tr>
        <w:trPr>
          <w:trHeight w:val="380" w:hRule="atLeast"/>
        </w:trPr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1C4778"/>
                <w:sz w:val="28"/>
              </w:rPr>
              <w:t>☐</w:t>
            </w:r>
          </w:p>
        </w:tc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>Use the call log at the end of this packet to keep follow-up clear.</w:t>
            </w:r>
          </w:p>
        </w:tc>
      </w:tr>
    </w:tbl>
    <w:p>
      <w:pPr>
        <w:spacing w:after="0"/>
      </w:pPr>
    </w:p>
    <w:p>
      <w:pPr>
        <w:spacing w:before="160" w:after="80"/>
      </w:pPr>
      <w:r>
        <w:rPr>
          <w:rFonts w:ascii="Georgia" w:hAnsi="Georgia"/>
          <w:b/>
          <w:color w:val="1C4778"/>
          <w:sz w:val="25"/>
        </w:rPr>
        <w:t>Question prep page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C7D3E0"/>
          <w:left w:val="single" w:sz="8" w:space="0" w:color="C7D3E0"/>
          <w:bottom w:val="single" w:sz="8" w:space="0" w:color="C7D3E0"/>
          <w:right w:val="single" w:sz="8" w:space="0" w:color="C7D3E0"/>
          <w:insideH w:val="single" w:sz="8" w:space="0" w:color="C7D3E0"/>
          <w:insideV w:val="single" w:sz="8" w:space="0" w:color="C7D3E0"/>
        </w:tblBorders>
      </w:tblPr>
      <w:tblGrid>
        <w:gridCol w:w="2808"/>
        <w:gridCol w:w="6696"/>
      </w:tblGrid>
      <w:tr>
        <w:trPr>
          <w:trHeight w:val="450" w:hRule="atLeast"/>
        </w:trPr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Date</w:t>
            </w:r>
          </w:p>
        </w:tc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 xml:space="preserve"> </w:t>
            </w:r>
          </w:p>
        </w:tc>
      </w:tr>
      <w:tr>
        <w:trPr>
          <w:trHeight w:val="500" w:hRule="atLeast"/>
        </w:trPr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Who the call / visit is with</w:t>
            </w:r>
          </w:p>
        </w:tc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 xml:space="preserve"> </w:t>
            </w:r>
          </w:p>
        </w:tc>
      </w:tr>
      <w:tr>
        <w:trPr>
          <w:trHeight w:val="700" w:hRule="atLeast"/>
        </w:trPr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Main question</w:t>
            </w:r>
          </w:p>
        </w:tc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 xml:space="preserve"> </w:t>
            </w:r>
          </w:p>
        </w:tc>
      </w:tr>
      <w:tr>
        <w:trPr>
          <w:trHeight w:val="650" w:hRule="atLeast"/>
        </w:trPr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Details to have ready</w:t>
            </w:r>
          </w:p>
        </w:tc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 xml:space="preserve"> </w:t>
            </w:r>
          </w:p>
        </w:tc>
      </w:tr>
      <w:tr>
        <w:trPr>
          <w:trHeight w:val="650" w:hRule="atLeast"/>
        </w:trPr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What I need clarified</w:t>
            </w:r>
          </w:p>
        </w:tc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 xml:space="preserve"> </w:t>
            </w:r>
          </w:p>
        </w:tc>
      </w:tr>
      <w:tr>
        <w:trPr>
          <w:trHeight w:val="760" w:hRule="atLeast"/>
        </w:trPr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What I was told</w:t>
            </w:r>
          </w:p>
        </w:tc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 xml:space="preserve"> </w:t>
            </w:r>
          </w:p>
        </w:tc>
      </w:tr>
      <w:tr>
        <w:trPr>
          <w:trHeight w:val="650" w:hRule="atLeast"/>
        </w:trPr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Next step</w:t>
            </w:r>
          </w:p>
        </w:tc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 xml:space="preserve"> </w:t>
            </w:r>
          </w:p>
        </w:tc>
      </w:tr>
      <w:tr>
        <w:trPr>
          <w:trHeight w:val="450" w:hRule="atLeast"/>
        </w:trPr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Follow-up date</w:t>
            </w:r>
          </w:p>
        </w:tc>
        <w:tc>
          <w:tcPr>
            <w:tcW w:type="dxa" w:w="4896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1"/>
              </w:rPr>
              <w:t xml:space="preserve"> </w:t>
            </w:r>
          </w:p>
        </w:tc>
      </w:tr>
    </w:tbl>
    <w:p>
      <w:r>
        <w:br w:type="page"/>
      </w:r>
    </w:p>
    <w:p>
      <w:pPr>
        <w:spacing w:before="240" w:after="120"/>
      </w:pPr>
      <w:r>
        <w:rPr>
          <w:rFonts w:ascii="Georgia" w:hAnsi="Georgia"/>
          <w:b/>
          <w:color w:val="1C4778"/>
          <w:sz w:val="34"/>
        </w:rPr>
        <w:t>Call, meeting, and visit log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BFC9D8"/>
          <w:left w:val="single" w:sz="8" w:space="0" w:color="BFC9D8"/>
          <w:bottom w:val="single" w:sz="8" w:space="0" w:color="BFC9D8"/>
          <w:right w:val="single" w:sz="8" w:space="0" w:color="BFC9D8"/>
          <w:insideH w:val="single" w:sz="8" w:space="0" w:color="BFC9D8"/>
          <w:insideV w:val="single" w:sz="8" w:space="0" w:color="BFC9D8"/>
        </w:tblBorders>
      </w:tblPr>
      <w:tblGrid>
        <w:gridCol w:w="1296"/>
        <w:gridCol w:w="2376"/>
        <w:gridCol w:w="3672"/>
        <w:gridCol w:w="1584"/>
        <w:gridCol w:w="1080"/>
      </w:tblGrid>
      <w:tr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E7F0F9"/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Date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E7F0F9"/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Who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E7F0F9"/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Topic / next step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E7F0F9"/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Follow-up by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E7F0F9"/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Done</w:t>
            </w:r>
          </w:p>
        </w:tc>
      </w:tr>
      <w:tr>
        <w:trPr>
          <w:trHeight w:val="540" w:hRule="atLeast"/>
        </w:trPr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1C4778"/>
                <w:sz w:val="20"/>
              </w:rPr>
              <w:t>☐</w:t>
            </w:r>
          </w:p>
        </w:tc>
      </w:tr>
      <w:tr>
        <w:trPr>
          <w:trHeight w:val="540" w:hRule="atLeast"/>
        </w:trPr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1C4778"/>
                <w:sz w:val="20"/>
              </w:rPr>
              <w:t>☐</w:t>
            </w:r>
          </w:p>
        </w:tc>
      </w:tr>
      <w:tr>
        <w:trPr>
          <w:trHeight w:val="540" w:hRule="atLeast"/>
        </w:trPr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1C4778"/>
                <w:sz w:val="20"/>
              </w:rPr>
              <w:t>☐</w:t>
            </w:r>
          </w:p>
        </w:tc>
      </w:tr>
      <w:tr>
        <w:trPr>
          <w:trHeight w:val="540" w:hRule="atLeast"/>
        </w:trPr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1C4778"/>
                <w:sz w:val="20"/>
              </w:rPr>
              <w:t>☐</w:t>
            </w:r>
          </w:p>
        </w:tc>
      </w:tr>
      <w:tr>
        <w:trPr>
          <w:trHeight w:val="540" w:hRule="atLeast"/>
        </w:trPr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1C4778"/>
                <w:sz w:val="20"/>
              </w:rPr>
              <w:t>☐</w:t>
            </w:r>
          </w:p>
        </w:tc>
      </w:tr>
      <w:tr>
        <w:trPr>
          <w:trHeight w:val="540" w:hRule="atLeast"/>
        </w:trPr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1C4778"/>
                <w:sz w:val="20"/>
              </w:rPr>
              <w:t>☐</w:t>
            </w:r>
          </w:p>
        </w:tc>
      </w:tr>
      <w:tr>
        <w:trPr>
          <w:trHeight w:val="540" w:hRule="atLeast"/>
        </w:trPr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1C4778"/>
                <w:sz w:val="20"/>
              </w:rPr>
              <w:t>☐</w:t>
            </w:r>
          </w:p>
        </w:tc>
      </w:tr>
      <w:tr>
        <w:trPr>
          <w:trHeight w:val="540" w:hRule="atLeast"/>
        </w:trPr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1C4778"/>
                <w:sz w:val="20"/>
              </w:rPr>
              <w:t>☐</w:t>
            </w:r>
          </w:p>
        </w:tc>
      </w:tr>
      <w:tr>
        <w:trPr>
          <w:trHeight w:val="540" w:hRule="atLeast"/>
        </w:trPr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1C4778"/>
                <w:sz w:val="20"/>
              </w:rPr>
              <w:t>☐</w:t>
            </w:r>
          </w:p>
        </w:tc>
      </w:tr>
      <w:tr>
        <w:trPr>
          <w:trHeight w:val="540" w:hRule="atLeast"/>
        </w:trPr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1958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 w:val="0"/>
                <w:i w:val="0"/>
                <w:color w:val="1C4778"/>
                <w:sz w:val="20"/>
              </w:rPr>
              <w:t>☐</w:t>
            </w:r>
          </w:p>
        </w:tc>
      </w:tr>
    </w:tbl>
    <w:p>
      <w:pPr>
        <w:spacing w:before="160" w:after="80"/>
      </w:pPr>
      <w:r>
        <w:rPr>
          <w:rFonts w:ascii="Georgia" w:hAnsi="Georgia"/>
          <w:b/>
          <w:color w:val="1C4778"/>
          <w:sz w:val="25"/>
        </w:rPr>
        <w:t>Names and numbers to keep handy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C7D3E0"/>
          <w:left w:val="single" w:sz="8" w:space="0" w:color="C7D3E0"/>
          <w:bottom w:val="single" w:sz="8" w:space="0" w:color="C7D3E0"/>
          <w:right w:val="single" w:sz="8" w:space="0" w:color="C7D3E0"/>
          <w:insideH w:val="single" w:sz="8" w:space="0" w:color="C7D3E0"/>
          <w:insideV w:val="single" w:sz="8" w:space="0" w:color="C7D3E0"/>
        </w:tblBorders>
      </w:tblPr>
      <w:tblGrid>
        <w:gridCol w:w="2880"/>
        <w:gridCol w:w="3600"/>
        <w:gridCol w:w="2160"/>
      </w:tblGrid>
      <w:tr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E7F0F9"/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Person / office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E7F0F9"/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Role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  <w:shd w:fill="E7F0F9"/>
          </w:tcPr>
          <w:p>
            <w:pPr>
              <w:spacing w:before="0" w:after="0" w:line="264" w:lineRule="auto"/>
              <w:jc w:val="center"/>
            </w:pPr>
            <w:r/>
            <w:r>
              <w:rPr>
                <w:rFonts w:ascii="Aptos" w:hAnsi="Aptos"/>
                <w:b/>
                <w:i w:val="0"/>
                <w:color w:val="1C4778"/>
                <w:sz w:val="20"/>
              </w:rPr>
              <w:t>Phone / email</w:t>
            </w:r>
          </w:p>
        </w:tc>
      </w:tr>
      <w:tr>
        <w:trPr>
          <w:trHeight w:val="500" w:hRule="atLeast"/>
        </w:trPr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</w:tr>
      <w:tr>
        <w:trPr>
          <w:trHeight w:val="500" w:hRule="atLeast"/>
        </w:trPr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</w:tr>
      <w:tr>
        <w:trPr>
          <w:trHeight w:val="500" w:hRule="atLeast"/>
        </w:trPr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</w:tr>
      <w:tr>
        <w:trPr>
          <w:trHeight w:val="500" w:hRule="atLeast"/>
        </w:trPr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</w:tr>
      <w:tr>
        <w:trPr>
          <w:trHeight w:val="500" w:hRule="atLeast"/>
        </w:trPr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</w:tr>
      <w:tr>
        <w:trPr>
          <w:trHeight w:val="500" w:hRule="atLeast"/>
        </w:trPr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  <w:tc>
          <w:tcPr>
            <w:tcW w:type="dxa" w:w="3264"/>
            <w:vAlign w:val="center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spacing w:before="0" w:after="0" w:line="264" w:lineRule="auto"/>
              <w:jc w:val="left"/>
            </w:pPr>
            <w:r/>
            <w:r>
              <w:rPr>
                <w:rFonts w:ascii="Aptos" w:hAnsi="Aptos"/>
                <w:b w:val="0"/>
                <w:i w:val="0"/>
                <w:color w:val="222222"/>
                <w:sz w:val="20"/>
              </w:rPr>
              <w:t xml:space="preserve"> 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792" w:right="1224" w:bottom="792" w:left="1224" w:header="288" w:footer="28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ptos" w:hAnsi="Aptos"/>
        <w:color w:val="56606E"/>
        <w:sz w:val="17"/>
      </w:rPr>
      <w:t>Public information only    calm, practical, child centered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after="0"/>
      <w:jc w:val="left"/>
    </w:pPr>
    <w:r>
      <w:drawing>
        <wp:inline xmlns:a="http://schemas.openxmlformats.org/drawingml/2006/main" xmlns:pic="http://schemas.openxmlformats.org/drawingml/2006/picture">
          <wp:extent cx="256032" cy="256032"/>
          <wp:docPr id="1" name="Picture 1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shield-tight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6032" cy="256032"/>
                  </a:xfrm>
                  <a:prstGeom prst="rect"/>
                </pic:spPr>
              </pic:pic>
            </a:graphicData>
          </a:graphic>
        </wp:inline>
      </w:drawing>
    </w:r>
    <w:r>
      <w:rPr>
        <w:rFonts w:ascii="Georgia" w:hAnsi="Georgia"/>
        <w:b/>
        <w:color w:val="1C4778"/>
        <w:sz w:val="19"/>
      </w:rPr>
      <w:t xml:space="preserve">  FOR OUR CHILDREN &amp; FAMILIES</w:t>
    </w:r>
    <w:r>
      <w:rPr>
        <w:rFonts w:ascii="Aptos" w:hAnsi="Aptos"/>
        <w:color w:val="56606E"/>
        <w:sz w:val="19"/>
      </w:rPr>
      <w:t xml:space="preserve">   CALLS, MEETINGS, VISITS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color w:val="222222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1.png"/><Relationship Id="rId12" Type="http://schemas.openxmlformats.org/officeDocument/2006/relationships/image" Target="media/image2.png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