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drawing>
          <wp:inline xmlns:a="http://schemas.openxmlformats.org/drawingml/2006/main" xmlns:pic="http://schemas.openxmlformats.org/drawingml/2006/picture">
            <wp:extent cx="6126480" cy="4081767"/>
            <wp:docPr id="1" name="Picture 1"/>
            <wp:cNvGraphicFramePr>
              <a:graphicFrameLocks noChangeAspect="1"/>
            </wp:cNvGraphicFramePr>
            <a:graphic>
              <a:graphicData uri="http://schemas.openxmlformats.org/drawingml/2006/picture">
                <pic:pic>
                  <pic:nvPicPr>
                    <pic:cNvPr id="0" name="cover-blueheart.png"/>
                    <pic:cNvPicPr/>
                  </pic:nvPicPr>
                  <pic:blipFill>
                    <a:blip r:embed="rId11"/>
                    <a:stretch>
                      <a:fillRect/>
                    </a:stretch>
                  </pic:blipFill>
                  <pic:spPr>
                    <a:xfrm>
                      <a:off x="0" y="0"/>
                      <a:ext cx="6126480" cy="4081767"/>
                    </a:xfrm>
                    <a:prstGeom prst="rect"/>
                  </pic:spPr>
                </pic:pic>
              </a:graphicData>
            </a:graphic>
          </wp:inline>
        </w:drawing>
      </w:r>
    </w:p>
    <w:p>
      <w:pPr>
        <w:pStyle w:val="FOCAFSmall"/>
        <w:jc w:val="center"/>
      </w:pPr>
      <w:r>
        <w:t>FOR OUR CHILDREN AND FAMILIES</w:t>
      </w:r>
    </w:p>
    <w:p>
      <w:pPr>
        <w:pStyle w:val="FOCAFTitle"/>
        <w:jc w:val="center"/>
      </w:pPr>
      <w:r>
        <w:t>FOCAF Complete Family Binder Edition</w:t>
      </w:r>
    </w:p>
    <w:p>
      <w:pPr>
        <w:pStyle w:val="FOCAFSubtitle"/>
        <w:jc w:val="center"/>
      </w:pPr>
      <w:r>
        <w:t>A single printable binder that brings the strongest family-help packets together in one calm, child-centered place.</w:t>
      </w:r>
    </w:p>
    <w:tbl>
      <w:tblPr>
        <w:tblW w:type="auto" w:w="0"/>
        <w:jc w:val="center"/>
        <w:tblLayout w:type="fixed"/>
        <w:tblLook w:firstColumn="1" w:firstRow="1" w:lastColumn="0" w:lastRow="0" w:noHBand="0" w:noVBand="1" w:val="04A0"/>
      </w:tblPr>
      <w:tblGrid>
        <w:gridCol w:w="9792"/>
      </w:tblGrid>
      <w:tr>
        <w:tc>
          <w:tcPr>
            <w:tcW w:type="dxa" w:w="10080"/>
            <w:shd w:fill="DBE9F4"/>
            <w:tcBorders>
              <w:left w:val="single" w:sz="8" w:color="A4BED4"/>
              <w:top w:val="single" w:sz="8" w:color="A4BED4"/>
              <w:right w:val="single" w:sz="8" w:color="A4BED4"/>
              <w:bottom w:val="single" w:sz="8" w:color="A4BED4"/>
            </w:tcBorders>
            <w:tcMar>
              <w:top w:w="100" w:type="dxa"/>
              <w:start w:w="140" w:type="dxa"/>
              <w:bottom w:w="100" w:type="dxa"/>
              <w:end w:w="140" w:type="dxa"/>
            </w:tcMar>
          </w:tcPr>
          <w:p>
            <w:r>
              <w:rPr>
                <w:b/>
                <w:color w:val="163656"/>
              </w:rPr>
              <w:t>What this binder is for</w:t>
              <w:br/>
            </w:r>
            <w:r>
              <w:t>Use it when papers are scattered, the next official step is unclear, or family logistics keep getting lost. You do not need to use every section. Start with one packet and one next step.</w:t>
            </w:r>
          </w:p>
        </w:tc>
      </w:tr>
    </w:tbl>
    <w:p>
      <w:pPr>
        <w:pStyle w:val="FOCAFSmall"/>
        <w:jc w:val="center"/>
      </w:pPr>
      <w:r>
        <w:t>This binder is for organization, planning, communication, and steadier family follow-through. It is not legal advice.</w:t>
      </w:r>
    </w:p>
    <w:p>
      <w:r>
        <w:br w:type="page"/>
      </w:r>
    </w:p>
    <w:p>
      <w:pPr>
        <w:pStyle w:val="FOCAFHeading1"/>
      </w:pPr>
      <w:r>
        <w:t>What is inside</w:t>
      </w:r>
    </w:p>
    <w:p>
      <w:pPr/>
      <w:r>
        <w:t>This edition includes the strongest FOCAF family-help packets in one print-ready order. Divider pages come before each major section so families can print the whole binder or only the parts they need.</w:t>
      </w:r>
    </w:p>
    <w:tbl>
      <w:tblPr>
        <w:tblW w:type="auto" w:w="0"/>
        <w:jc w:val="center"/>
        <w:tblLayout w:type="fixed"/>
        <w:tblLook w:firstColumn="1" w:firstRow="1" w:lastColumn="0" w:lastRow="0" w:noHBand="0" w:noVBand="1" w:val="04A0"/>
      </w:tblPr>
      <w:tblGrid>
        <w:gridCol w:w="4608"/>
        <w:gridCol w:w="3600"/>
        <w:gridCol w:w="1296"/>
      </w:tblGrid>
      <w:tr>
        <w:tc>
          <w:tcPr>
            <w:tcW w:type="dxa" w:w="3360"/>
            <w:shd w:fill="DCE9F6"/>
            <w:tcMar>
              <w:top w:w="80" w:type="dxa"/>
              <w:start w:w="100" w:type="dxa"/>
              <w:bottom w:w="80" w:type="dxa"/>
              <w:end w:w="100" w:type="dxa"/>
            </w:tcMar>
            <w:vAlign w:val="center"/>
            <w:tcBorders>
              <w:left w:val="single" w:sz="8" w:color="A4BED4"/>
              <w:top w:val="single" w:sz="8" w:color="A4BED4"/>
              <w:right w:val="single" w:sz="8" w:color="A4BED4"/>
              <w:bottom w:val="single" w:sz="8" w:color="A4BED4"/>
            </w:tcBorders>
          </w:tcPr>
          <w:p>
            <w:r>
              <w:rPr>
                <w:b/>
                <w:color w:val="1F3656"/>
              </w:rPr>
              <w:t>Section or packet</w:t>
            </w:r>
          </w:p>
        </w:tc>
        <w:tc>
          <w:tcPr>
            <w:tcW w:type="dxa" w:w="3360"/>
            <w:shd w:fill="DCE9F6"/>
            <w:tcMar>
              <w:top w:w="80" w:type="dxa"/>
              <w:start w:w="100" w:type="dxa"/>
              <w:bottom w:w="80" w:type="dxa"/>
              <w:end w:w="100" w:type="dxa"/>
            </w:tcMar>
            <w:vAlign w:val="center"/>
            <w:tcBorders>
              <w:left w:val="single" w:sz="8" w:color="A4BED4"/>
              <w:top w:val="single" w:sz="8" w:color="A4BED4"/>
              <w:right w:val="single" w:sz="8" w:color="A4BED4"/>
              <w:bottom w:val="single" w:sz="8" w:color="A4BED4"/>
            </w:tcBorders>
          </w:tcPr>
          <w:p>
            <w:r>
              <w:rPr>
                <w:b/>
                <w:color w:val="1F3656"/>
              </w:rPr>
              <w:t>What it helps with</w:t>
            </w:r>
          </w:p>
        </w:tc>
        <w:tc>
          <w:tcPr>
            <w:tcW w:type="dxa" w:w="3360"/>
            <w:shd w:fill="DCE9F6"/>
            <w:tcMar>
              <w:top w:w="80" w:type="dxa"/>
              <w:start w:w="100" w:type="dxa"/>
              <w:bottom w:w="80" w:type="dxa"/>
              <w:end w:w="100" w:type="dxa"/>
            </w:tcMar>
            <w:vAlign w:val="center"/>
            <w:tcBorders>
              <w:left w:val="single" w:sz="8" w:color="A4BED4"/>
              <w:top w:val="single" w:sz="8" w:color="A4BED4"/>
              <w:right w:val="single" w:sz="8" w:color="A4BED4"/>
              <w:bottom w:val="single" w:sz="8" w:color="A4BED4"/>
            </w:tcBorders>
          </w:tcPr>
          <w:p>
            <w:r>
              <w:rPr>
                <w:b/>
                <w:color w:val="1F3656"/>
              </w:rPr>
              <w:t>Pages</w:t>
            </w:r>
          </w:p>
        </w:tc>
      </w:tr>
      <w:tr>
        <w:tc>
          <w:tcPr>
            <w:tcW w:type="dxa" w:w="4608"/>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rPr>
                <w:b/>
              </w:rPr>
              <w:t>Start Here divider</w:t>
            </w:r>
          </w:p>
        </w:tc>
        <w:tc>
          <w:tcPr>
            <w:tcW w:type="dxa" w:w="3600"/>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Opens the binder and marks the calm-entry packet.</w:t>
            </w:r>
          </w:p>
        </w:tc>
        <w:tc>
          <w:tcPr>
            <w:tcW w:type="dxa" w:w="129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6</w:t>
            </w:r>
          </w:p>
        </w:tc>
      </w:tr>
      <w:tr>
        <w:tc>
          <w:tcPr>
            <w:tcW w:type="dxa" w:w="4608"/>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rPr>
                <w:b/>
              </w:rPr>
              <w:t>Family Practical Pack</w:t>
            </w:r>
          </w:p>
        </w:tc>
        <w:tc>
          <w:tcPr>
            <w:tcW w:type="dxa" w:w="3600"/>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A calmer first packet when everything feels scattered.</w:t>
            </w:r>
          </w:p>
        </w:tc>
        <w:tc>
          <w:tcPr>
            <w:tcW w:type="dxa" w:w="129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7-12</w:t>
            </w:r>
          </w:p>
        </w:tc>
      </w:tr>
      <w:tr>
        <w:tc>
          <w:tcPr>
            <w:tcW w:type="dxa" w:w="4608"/>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rPr>
                <w:b/>
              </w:rPr>
              <w:t>Prepare + Organize divider</w:t>
            </w:r>
          </w:p>
        </w:tc>
        <w:tc>
          <w:tcPr>
            <w:tcW w:type="dxa" w:w="3600"/>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Marks the family-file section.</w:t>
            </w:r>
          </w:p>
        </w:tc>
        <w:tc>
          <w:tcPr>
            <w:tcW w:type="dxa" w:w="129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13</w:t>
            </w:r>
          </w:p>
        </w:tc>
      </w:tr>
      <w:tr>
        <w:tc>
          <w:tcPr>
            <w:tcW w:type="dxa" w:w="4608"/>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rPr>
                <w:b/>
              </w:rPr>
              <w:t>Prepare + Organize Family File</w:t>
            </w:r>
          </w:p>
        </w:tc>
        <w:tc>
          <w:tcPr>
            <w:tcW w:type="dxa" w:w="3600"/>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Names, dates, notices, timeline notes, questions, next actions.</w:t>
            </w:r>
          </w:p>
        </w:tc>
        <w:tc>
          <w:tcPr>
            <w:tcW w:type="dxa" w:w="129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14-18</w:t>
            </w:r>
          </w:p>
        </w:tc>
      </w:tr>
      <w:tr>
        <w:tc>
          <w:tcPr>
            <w:tcW w:type="dxa" w:w="4608"/>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rPr>
                <w:b/>
              </w:rPr>
              <w:t>Court Week + Day-Of divider</w:t>
            </w:r>
          </w:p>
        </w:tc>
        <w:tc>
          <w:tcPr>
            <w:tcW w:type="dxa" w:w="3600"/>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Marks the hearing-week section.</w:t>
            </w:r>
          </w:p>
        </w:tc>
        <w:tc>
          <w:tcPr>
            <w:tcW w:type="dxa" w:w="129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19</w:t>
            </w:r>
          </w:p>
        </w:tc>
      </w:tr>
      <w:tr>
        <w:tc>
          <w:tcPr>
            <w:tcW w:type="dxa" w:w="4608"/>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rPr>
                <w:b/>
              </w:rPr>
              <w:t>Court Week + Day-Of Packet</w:t>
            </w:r>
          </w:p>
        </w:tc>
        <w:tc>
          <w:tcPr>
            <w:tcW w:type="dxa" w:w="3600"/>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Arrival plan, papers, what to bring, calmer day-of follow-through.</w:t>
            </w:r>
          </w:p>
        </w:tc>
        <w:tc>
          <w:tcPr>
            <w:tcW w:type="dxa" w:w="129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20-24</w:t>
            </w:r>
          </w:p>
        </w:tc>
      </w:tr>
      <w:tr>
        <w:tc>
          <w:tcPr>
            <w:tcW w:type="dxa" w:w="4608"/>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rPr>
                <w:b/>
              </w:rPr>
              <w:t>After the Hearing divider</w:t>
            </w:r>
          </w:p>
        </w:tc>
        <w:tc>
          <w:tcPr>
            <w:tcW w:type="dxa" w:w="3600"/>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Marks the follow-up section.</w:t>
            </w:r>
          </w:p>
        </w:tc>
        <w:tc>
          <w:tcPr>
            <w:tcW w:type="dxa" w:w="129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25</w:t>
            </w:r>
          </w:p>
        </w:tc>
      </w:tr>
      <w:tr>
        <w:tc>
          <w:tcPr>
            <w:tcW w:type="dxa" w:w="4608"/>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rPr>
                <w:b/>
              </w:rPr>
              <w:t>After the Hearing + Next 7 Days</w:t>
            </w:r>
          </w:p>
        </w:tc>
        <w:tc>
          <w:tcPr>
            <w:tcW w:type="dxa" w:w="3600"/>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Orders, updates, notices, appointments, follow-up tasks.</w:t>
            </w:r>
          </w:p>
        </w:tc>
        <w:tc>
          <w:tcPr>
            <w:tcW w:type="dxa" w:w="129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26-29</w:t>
            </w:r>
          </w:p>
        </w:tc>
      </w:tr>
      <w:tr>
        <w:tc>
          <w:tcPr>
            <w:tcW w:type="dxa" w:w="4608"/>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rPr>
                <w:b/>
              </w:rPr>
              <w:t>Child Well-Being divider</w:t>
            </w:r>
          </w:p>
        </w:tc>
        <w:tc>
          <w:tcPr>
            <w:tcW w:type="dxa" w:w="3600"/>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Marks the child-centered note section.</w:t>
            </w:r>
          </w:p>
        </w:tc>
        <w:tc>
          <w:tcPr>
            <w:tcW w:type="dxa" w:w="129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30</w:t>
            </w:r>
          </w:p>
        </w:tc>
      </w:tr>
      <w:tr>
        <w:tc>
          <w:tcPr>
            <w:tcW w:type="dxa" w:w="4608"/>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rPr>
                <w:b/>
              </w:rPr>
              <w:t>Child Well-Being Organizer + Quick Guide</w:t>
            </w:r>
          </w:p>
        </w:tc>
        <w:tc>
          <w:tcPr>
            <w:tcW w:type="dxa" w:w="3600"/>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Routine, school, health, transitions, notes, patterns, support framing.</w:t>
            </w:r>
          </w:p>
        </w:tc>
        <w:tc>
          <w:tcPr>
            <w:tcW w:type="dxa" w:w="129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31-37 + 38-42</w:t>
            </w:r>
          </w:p>
        </w:tc>
      </w:tr>
      <w:tr>
        <w:tc>
          <w:tcPr>
            <w:tcW w:type="dxa" w:w="4608"/>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rPr>
                <w:b/>
              </w:rPr>
              <w:t>Communication + Care divider</w:t>
            </w:r>
          </w:p>
        </w:tc>
        <w:tc>
          <w:tcPr>
            <w:tcW w:type="dxa" w:w="3600"/>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Marks the family working-pages section.</w:t>
            </w:r>
          </w:p>
        </w:tc>
        <w:tc>
          <w:tcPr>
            <w:tcW w:type="dxa" w:w="129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43</w:t>
            </w:r>
          </w:p>
        </w:tc>
      </w:tr>
      <w:tr>
        <w:tc>
          <w:tcPr>
            <w:tcW w:type="dxa" w:w="4608"/>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rPr>
                <w:b/>
              </w:rPr>
              <w:t>Transitions + Communication / School + Care / Appointments + Medication</w:t>
            </w:r>
          </w:p>
        </w:tc>
        <w:tc>
          <w:tcPr>
            <w:tcW w:type="dxa" w:w="3600"/>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Day-to-day family working pages.</w:t>
            </w:r>
          </w:p>
        </w:tc>
        <w:tc>
          <w:tcPr>
            <w:tcW w:type="dxa" w:w="129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44-48, 49-51, 52-54</w:t>
            </w:r>
          </w:p>
        </w:tc>
      </w:tr>
      <w:tr>
        <w:tc>
          <w:tcPr>
            <w:tcW w:type="dxa" w:w="4608"/>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rPr>
                <w:b/>
              </w:rPr>
              <w:t>Housing + Help divider</w:t>
            </w:r>
          </w:p>
        </w:tc>
        <w:tc>
          <w:tcPr>
            <w:tcW w:type="dxa" w:w="3600"/>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Marks crisis and practical support pages.</w:t>
            </w:r>
          </w:p>
        </w:tc>
        <w:tc>
          <w:tcPr>
            <w:tcW w:type="dxa" w:w="129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55</w:t>
            </w:r>
          </w:p>
        </w:tc>
      </w:tr>
      <w:tr>
        <w:tc>
          <w:tcPr>
            <w:tcW w:type="dxa" w:w="4608"/>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rPr>
                <w:b/>
              </w:rPr>
              <w:t>Housing Stability + Maine Help Contacts</w:t>
            </w:r>
          </w:p>
        </w:tc>
        <w:tc>
          <w:tcPr>
            <w:tcW w:type="dxa" w:w="3600"/>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Housing documents, first calls, crisis lines, support doors.</w:t>
            </w:r>
          </w:p>
        </w:tc>
        <w:tc>
          <w:tcPr>
            <w:tcW w:type="dxa" w:w="129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56-60 + 61-63</w:t>
            </w:r>
          </w:p>
        </w:tc>
      </w:tr>
      <w:tr>
        <w:tc>
          <w:tcPr>
            <w:tcW w:type="dxa" w:w="4608"/>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rPr>
                <w:b/>
              </w:rPr>
              <w:t>Official Doors divider</w:t>
            </w:r>
          </w:p>
        </w:tc>
        <w:tc>
          <w:tcPr>
            <w:tcW w:type="dxa" w:w="3600"/>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Marks Maine official/legal-help pages.</w:t>
            </w:r>
          </w:p>
        </w:tc>
        <w:tc>
          <w:tcPr>
            <w:tcW w:type="dxa" w:w="129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64</w:t>
            </w:r>
          </w:p>
        </w:tc>
      </w:tr>
      <w:tr>
        <w:tc>
          <w:tcPr>
            <w:tcW w:type="dxa" w:w="4608"/>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rPr>
                <w:b/>
              </w:rPr>
              <w:t>Maine Legal Help + Official Doors</w:t>
            </w:r>
          </w:p>
        </w:tc>
        <w:tc>
          <w:tcPr>
            <w:tcW w:type="dxa" w:w="3600"/>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The right Maine office, form page, legal-help door, or next appointment note.</w:t>
            </w:r>
          </w:p>
        </w:tc>
        <w:tc>
          <w:tcPr>
            <w:tcW w:type="dxa" w:w="129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pPr>
              <w:spacing w:after="0"/>
            </w:pPr>
            <w:r>
              <w:t>65-68</w:t>
            </w:r>
          </w:p>
        </w:tc>
      </w:tr>
    </w:tbl>
    <w:p>
      <w:pPr>
        <w:pStyle w:val="FOCAFSmall"/>
      </w:pPr>
      <w:r>
        <w:t>Note: each included packet keeps its own internal page numbers and cover pages. This makes it easier to print single packets later without losing context.</w:t>
      </w:r>
    </w:p>
    <w:p>
      <w:r>
        <w:br w:type="page"/>
      </w:r>
    </w:p>
    <w:p>
      <w:pPr>
        <w:pStyle w:val="FOCAFHeading1"/>
      </w:pPr>
      <w:r>
        <w:t>Choose one section first</w:t>
      </w:r>
    </w:p>
    <w:p>
      <w:pPr/>
      <w:r>
        <w:t>You do not need the whole binder today. Pick the section that matches the immediate problem, then stop once you have the next step written down.</w:t>
      </w:r>
    </w:p>
    <w:tbl>
      <w:tblPr>
        <w:tblW w:type="auto" w:w="0"/>
        <w:jc w:val="center"/>
        <w:tblLayout w:type="fixed"/>
        <w:tblLook w:firstColumn="1" w:firstRow="1" w:lastColumn="0" w:lastRow="0" w:noHBand="0" w:noVBand="1" w:val="04A0"/>
      </w:tblPr>
      <w:tblGrid>
        <w:gridCol w:w="3744"/>
        <w:gridCol w:w="4176"/>
        <w:gridCol w:w="1584"/>
      </w:tblGrid>
      <w:tr>
        <w:tc>
          <w:tcPr>
            <w:tcW w:type="dxa" w:w="3360"/>
            <w:shd w:fill="DCE9F6"/>
            <w:tcMar>
              <w:top w:w="80" w:type="dxa"/>
              <w:start w:w="100" w:type="dxa"/>
              <w:bottom w:w="80" w:type="dxa"/>
              <w:end w:w="100" w:type="dxa"/>
            </w:tcMar>
            <w:tcBorders>
              <w:left w:val="single" w:sz="8" w:color="A4BED4"/>
              <w:top w:val="single" w:sz="8" w:color="A4BED4"/>
              <w:right w:val="single" w:sz="8" w:color="A4BED4"/>
              <w:bottom w:val="single" w:sz="8" w:color="A4BED4"/>
            </w:tcBorders>
          </w:tcPr>
          <w:p>
            <w:r>
              <w:rPr>
                <w:b/>
                <w:color w:val="1F3656"/>
              </w:rPr>
              <w:t>If this is the problem</w:t>
            </w:r>
          </w:p>
        </w:tc>
        <w:tc>
          <w:tcPr>
            <w:tcW w:type="dxa" w:w="3360"/>
            <w:shd w:fill="DCE9F6"/>
            <w:tcMar>
              <w:top w:w="80" w:type="dxa"/>
              <w:start w:w="100" w:type="dxa"/>
              <w:bottom w:w="80" w:type="dxa"/>
              <w:end w:w="100" w:type="dxa"/>
            </w:tcMar>
            <w:tcBorders>
              <w:left w:val="single" w:sz="8" w:color="A4BED4"/>
              <w:top w:val="single" w:sz="8" w:color="A4BED4"/>
              <w:right w:val="single" w:sz="8" w:color="A4BED4"/>
              <w:bottom w:val="single" w:sz="8" w:color="A4BED4"/>
            </w:tcBorders>
          </w:tcPr>
          <w:p>
            <w:r>
              <w:rPr>
                <w:b/>
                <w:color w:val="1F3656"/>
              </w:rPr>
              <w:t>Open this section first</w:t>
            </w:r>
          </w:p>
        </w:tc>
        <w:tc>
          <w:tcPr>
            <w:tcW w:type="dxa" w:w="3360"/>
            <w:shd w:fill="DCE9F6"/>
            <w:tcMar>
              <w:top w:w="80" w:type="dxa"/>
              <w:start w:w="100" w:type="dxa"/>
              <w:bottom w:w="80" w:type="dxa"/>
              <w:end w:w="100" w:type="dxa"/>
            </w:tcMar>
            <w:tcBorders>
              <w:left w:val="single" w:sz="8" w:color="A4BED4"/>
              <w:top w:val="single" w:sz="8" w:color="A4BED4"/>
              <w:right w:val="single" w:sz="8" w:color="A4BED4"/>
              <w:bottom w:val="single" w:sz="8" w:color="A4BED4"/>
            </w:tcBorders>
          </w:tcPr>
          <w:p>
            <w:r>
              <w:rPr>
                <w:b/>
                <w:color w:val="1F3656"/>
              </w:rPr>
              <w:t>Pages</w:t>
            </w:r>
          </w:p>
        </w:tc>
      </w:tr>
      <w:tr>
        <w:tc>
          <w:tcPr>
            <w:tcW w:type="dxa" w:w="3744"/>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rPr>
                <w:b/>
              </w:rPr>
              <w:t>I need one calm place to start.</w:t>
            </w:r>
          </w:p>
        </w:tc>
        <w:tc>
          <w:tcPr>
            <w:tcW w:type="dxa" w:w="417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t>Start Here / Family Practical Pack</w:t>
            </w:r>
          </w:p>
        </w:tc>
        <w:tc>
          <w:tcPr>
            <w:tcW w:type="dxa" w:w="1584"/>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t>6 + 7-12</w:t>
            </w:r>
          </w:p>
        </w:tc>
      </w:tr>
      <w:tr>
        <w:tc>
          <w:tcPr>
            <w:tcW w:type="dxa" w:w="3744"/>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rPr>
                <w:b/>
              </w:rPr>
              <w:t>The papers are everywhere.</w:t>
            </w:r>
          </w:p>
        </w:tc>
        <w:tc>
          <w:tcPr>
            <w:tcW w:type="dxa" w:w="417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t>Prepare + Organize</w:t>
            </w:r>
          </w:p>
        </w:tc>
        <w:tc>
          <w:tcPr>
            <w:tcW w:type="dxa" w:w="1584"/>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t>13 + 14-18</w:t>
            </w:r>
          </w:p>
        </w:tc>
      </w:tr>
      <w:tr>
        <w:tc>
          <w:tcPr>
            <w:tcW w:type="dxa" w:w="3744"/>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rPr>
                <w:b/>
              </w:rPr>
              <w:t>A hearing, review, clinic, or conference is coming.</w:t>
            </w:r>
          </w:p>
        </w:tc>
        <w:tc>
          <w:tcPr>
            <w:tcW w:type="dxa" w:w="417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t>Court Week + Day-Of</w:t>
            </w:r>
          </w:p>
        </w:tc>
        <w:tc>
          <w:tcPr>
            <w:tcW w:type="dxa" w:w="1584"/>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t>19 + 20-24</w:t>
            </w:r>
          </w:p>
        </w:tc>
      </w:tr>
      <w:tr>
        <w:tc>
          <w:tcPr>
            <w:tcW w:type="dxa" w:w="3744"/>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rPr>
                <w:b/>
              </w:rPr>
              <w:t>The hearing just happened.</w:t>
            </w:r>
          </w:p>
        </w:tc>
        <w:tc>
          <w:tcPr>
            <w:tcW w:type="dxa" w:w="417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t>After the Hearing</w:t>
            </w:r>
          </w:p>
        </w:tc>
        <w:tc>
          <w:tcPr>
            <w:tcW w:type="dxa" w:w="1584"/>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t>25 + 26-29</w:t>
            </w:r>
          </w:p>
        </w:tc>
      </w:tr>
      <w:tr>
        <w:tc>
          <w:tcPr>
            <w:tcW w:type="dxa" w:w="3744"/>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rPr>
                <w:b/>
              </w:rPr>
              <w:t>I need child-centered notes, not a case pile.</w:t>
            </w:r>
          </w:p>
        </w:tc>
        <w:tc>
          <w:tcPr>
            <w:tcW w:type="dxa" w:w="417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t>Child Well-Being</w:t>
            </w:r>
          </w:p>
        </w:tc>
        <w:tc>
          <w:tcPr>
            <w:tcW w:type="dxa" w:w="1584"/>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t>30 + 31-37</w:t>
            </w:r>
          </w:p>
        </w:tc>
      </w:tr>
      <w:tr>
        <w:tc>
          <w:tcPr>
            <w:tcW w:type="dxa" w:w="3744"/>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rPr>
                <w:b/>
              </w:rPr>
              <w:t>Transitions, school, messages, or appointments are drifting.</w:t>
            </w:r>
          </w:p>
        </w:tc>
        <w:tc>
          <w:tcPr>
            <w:tcW w:type="dxa" w:w="417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t>Communication + Care</w:t>
            </w:r>
          </w:p>
        </w:tc>
        <w:tc>
          <w:tcPr>
            <w:tcW w:type="dxa" w:w="1584"/>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t>43 + 52-54</w:t>
            </w:r>
          </w:p>
        </w:tc>
      </w:tr>
      <w:tr>
        <w:tc>
          <w:tcPr>
            <w:tcW w:type="dxa" w:w="3744"/>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rPr>
                <w:b/>
              </w:rPr>
              <w:t>Housing, crisis contacts, or help numbers matter first.</w:t>
            </w:r>
          </w:p>
        </w:tc>
        <w:tc>
          <w:tcPr>
            <w:tcW w:type="dxa" w:w="417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t>Housing + Help</w:t>
            </w:r>
          </w:p>
        </w:tc>
        <w:tc>
          <w:tcPr>
            <w:tcW w:type="dxa" w:w="1584"/>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t>55 + 61-63</w:t>
            </w:r>
          </w:p>
        </w:tc>
      </w:tr>
      <w:tr>
        <w:tc>
          <w:tcPr>
            <w:tcW w:type="dxa" w:w="3744"/>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rPr>
                <w:b/>
              </w:rPr>
              <w:t>I need the right Maine office or legal-help door.</w:t>
            </w:r>
          </w:p>
        </w:tc>
        <w:tc>
          <w:tcPr>
            <w:tcW w:type="dxa" w:w="4176"/>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t>Official Doors</w:t>
            </w:r>
          </w:p>
        </w:tc>
        <w:tc>
          <w:tcPr>
            <w:tcW w:type="dxa" w:w="1584"/>
            <w:vAlign w:val="center"/>
            <w:tcMar>
              <w:top w:w="90" w:type="dxa"/>
              <w:start w:w="100" w:type="dxa"/>
              <w:bottom w:w="90" w:type="dxa"/>
              <w:end w:w="100" w:type="dxa"/>
            </w:tcMar>
            <w:tcBorders>
              <w:left w:val="single" w:sz="4" w:color="C3D5E3"/>
              <w:top w:val="single" w:sz="4" w:color="C3D5E3"/>
              <w:right w:val="single" w:sz="4" w:color="C3D5E3"/>
              <w:bottom w:val="single" w:sz="4" w:color="C3D5E3"/>
            </w:tcBorders>
          </w:tcPr>
          <w:p>
            <w:r>
              <w:t>64 + 65-68</w:t>
            </w:r>
          </w:p>
        </w:tc>
      </w:tr>
    </w:tbl>
    <w:tbl>
      <w:tblPr>
        <w:tblW w:type="auto" w:w="0"/>
        <w:jc w:val="center"/>
        <w:tblLayout w:type="fixed"/>
        <w:tblLook w:firstColumn="1" w:firstRow="1" w:lastColumn="0" w:lastRow="0" w:noHBand="0" w:noVBand="1" w:val="04A0"/>
      </w:tblPr>
      <w:tblGrid>
        <w:gridCol w:w="9792"/>
      </w:tblGrid>
      <w:tr>
        <w:tc>
          <w:tcPr>
            <w:tcW w:type="dxa" w:w="10080"/>
            <w:shd w:fill="EEF4F9"/>
            <w:tcBorders>
              <w:left w:val="single" w:sz="6" w:color="B8CDD9"/>
              <w:top w:val="single" w:sz="6" w:color="B8CDD9"/>
              <w:right w:val="single" w:sz="6" w:color="B8CDD9"/>
              <w:bottom w:val="single" w:sz="6" w:color="B8CDD9"/>
            </w:tcBorders>
            <w:tcMar>
              <w:top w:w="90" w:type="dxa"/>
              <w:start w:w="120" w:type="dxa"/>
              <w:bottom w:w="90" w:type="dxa"/>
              <w:end w:w="120" w:type="dxa"/>
            </w:tcMar>
          </w:tcPr>
          <w:p>
            <w:r>
              <w:rPr>
                <w:b/>
                <w:color w:val="163656"/>
              </w:rPr>
              <w:t>Print-light suggestion</w:t>
            </w:r>
          </w:p>
          <w:p>
            <w:r>
              <w:t>[ ] Print only the section you need first.</w:t>
            </w:r>
          </w:p>
          <w:p>
            <w:r>
              <w:t>[ ] Put current orders, notices, and school papers in front of that section.</w:t>
            </w:r>
          </w:p>
          <w:p>
            <w:r>
              <w:t>[ ] Write the next date, deadline, or appointment on the first page you print.</w:t>
            </w:r>
          </w:p>
        </w:tc>
      </w:tr>
    </w:tbl>
    <w:p>
      <w:r>
        <w:br w:type="page"/>
      </w:r>
    </w:p>
    <w:p>
      <w:pPr>
        <w:pStyle w:val="FOCAFHeading1"/>
      </w:pPr>
      <w:r>
        <w:t>Set this binder up in ten minutes</w:t>
      </w:r>
    </w:p>
    <w:p>
      <w:pPr/>
      <w:r>
        <w:t>Use this page as a calm setup sheet before you start filling in the packets.</w:t>
      </w:r>
    </w:p>
    <w:p>
      <w:pPr>
        <w:spacing w:after="200"/>
      </w:pPr>
      <w:r>
        <w:rPr>
          <w:b/>
        </w:rPr>
        <w:t xml:space="preserve">Today’s date: </w:t>
      </w:r>
      <w:r>
        <w:t>__________________________________</w:t>
      </w:r>
    </w:p>
    <w:p>
      <w:pPr>
        <w:spacing w:after="200"/>
      </w:pPr>
      <w:r>
        <w:rPr>
          <w:b/>
        </w:rPr>
        <w:t xml:space="preserve">Child or family name to put on the cover: </w:t>
      </w:r>
      <w:r>
        <w:t>__________________________________</w:t>
      </w:r>
    </w:p>
    <w:p>
      <w:pPr>
        <w:spacing w:after="200"/>
      </w:pPr>
      <w:r>
        <w:rPr>
          <w:b/>
        </w:rPr>
        <w:t xml:space="preserve">Next hearing, meeting, or deadline I know about: </w:t>
      </w:r>
      <w:r>
        <w:t>__________________________</w:t>
      </w:r>
    </w:p>
    <w:p>
      <w:pPr>
        <w:spacing w:after="200"/>
      </w:pPr>
      <w:r>
        <w:rPr>
          <w:b/>
        </w:rPr>
        <w:t xml:space="preserve">School, provider, clinic, or office I may need to contact first: </w:t>
      </w:r>
      <w:r>
        <w:t>__________________________</w:t>
      </w:r>
    </w:p>
    <w:p>
      <w:pPr>
        <w:spacing w:after="200"/>
      </w:pPr>
      <w:r>
        <w:rPr>
          <w:b/>
        </w:rPr>
        <w:t xml:space="preserve">The one packet I am starting with today: </w:t>
      </w:r>
      <w:r>
        <w:t>__________________________________</w:t>
      </w:r>
    </w:p>
    <w:p>
      <w:pPr>
        <w:pStyle w:val="FOCAFHeading2"/>
      </w:pPr>
      <w:r>
        <w:t>Keep near the front</w:t>
      </w:r>
    </w:p>
    <w:p>
      <w:pPr>
        <w:ind w:left="288"/>
      </w:pPr>
      <w:r>
        <w:t>• Current orders or notices you need to look at often</w:t>
      </w:r>
    </w:p>
    <w:p>
      <w:pPr>
        <w:ind w:left="288"/>
      </w:pPr>
      <w:r>
        <w:t>• A short timeline page with the last few important dates</w:t>
      </w:r>
    </w:p>
    <w:p>
      <w:pPr>
        <w:ind w:left="288"/>
      </w:pPr>
      <w:r>
        <w:t>• School contact details and the next provider appointment</w:t>
      </w:r>
    </w:p>
    <w:p>
      <w:pPr>
        <w:ind w:left="288"/>
      </w:pPr>
      <w:r>
        <w:t>• Any paper you keep re-looking for</w:t>
      </w:r>
    </w:p>
    <w:tbl>
      <w:tblPr>
        <w:tblW w:type="auto" w:w="0"/>
        <w:jc w:val="center"/>
        <w:tblLayout w:type="fixed"/>
        <w:tblLook w:firstColumn="1" w:firstRow="1" w:lastColumn="0" w:lastRow="0" w:noHBand="0" w:noVBand="1" w:val="04A0"/>
      </w:tblPr>
      <w:tblGrid>
        <w:gridCol w:w="9792"/>
      </w:tblGrid>
      <w:tr>
        <w:tc>
          <w:tcPr>
            <w:tcW w:type="dxa" w:w="10080"/>
            <w:shd w:fill="DBE9F4"/>
            <w:tcBorders>
              <w:left w:val="single" w:sz="8" w:color="A4BED4"/>
              <w:top w:val="single" w:sz="8" w:color="A4BED4"/>
              <w:right w:val="single" w:sz="8" w:color="A4BED4"/>
              <w:bottom w:val="single" w:sz="8" w:color="A4BED4"/>
            </w:tcBorders>
            <w:tcMar>
              <w:top w:w="110" w:type="dxa"/>
              <w:start w:w="140" w:type="dxa"/>
              <w:bottom w:w="110" w:type="dxa"/>
              <w:end w:w="140" w:type="dxa"/>
            </w:tcMar>
          </w:tcPr>
          <w:p>
            <w:r>
              <w:rPr>
                <w:b/>
                <w:color w:val="163656"/>
              </w:rPr>
              <w:t>Keep the goal small</w:t>
            </w:r>
          </w:p>
          <w:p>
            <w:r>
              <w:t>The goal is not to build a perfect binder. The goal is to make the next school call, provider follow-up, court week, or family transition less chaotic than it was yesterday.</w:t>
            </w:r>
          </w:p>
        </w:tc>
      </w:tr>
    </w:tbl>
    <w:sectPr w:rsidR="00FC693F" w:rsidRPr="0006063C" w:rsidSect="00034616">
      <w:headerReference w:type="default" r:id="rId9"/>
      <w:footerReference w:type="default" r:id="rId10"/>
      <w:pgSz w:w="12240" w:h="15840"/>
      <w:pgMar w:top="936" w:right="1080" w:bottom="792"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Aptos" w:hAnsi="Aptos"/>
        <w:color w:val="767D86"/>
        <w:sz w:val="18"/>
      </w:rPr>
      <w:t>Public information only    calm, practical, child centered</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drawing>
        <wp:inline xmlns:a="http://schemas.openxmlformats.org/drawingml/2006/main" xmlns:pic="http://schemas.openxmlformats.org/drawingml/2006/picture">
          <wp:extent cx="256032" cy="256032"/>
          <wp:docPr id="1" name="Picture 1"/>
          <wp:cNvGraphicFramePr>
            <a:graphicFrameLocks noChangeAspect="1"/>
          </wp:cNvGraphicFramePr>
          <a:graphic>
            <a:graphicData uri="http://schemas.openxmlformats.org/drawingml/2006/picture">
              <pic:pic>
                <pic:nvPicPr>
                  <pic:cNvPr id="0" name="shield-tight.png"/>
                  <pic:cNvPicPr/>
                </pic:nvPicPr>
                <pic:blipFill>
                  <a:blip r:embed="rId1"/>
                  <a:stretch>
                    <a:fillRect/>
                  </a:stretch>
                </pic:blipFill>
                <pic:spPr>
                  <a:xfrm>
                    <a:off x="0" y="0"/>
                    <a:ext cx="256032" cy="256032"/>
                  </a:xfrm>
                  <a:prstGeom prst="rect"/>
                </pic:spPr>
              </pic:pic>
            </a:graphicData>
          </a:graphic>
        </wp:inline>
      </w:drawing>
    </w:r>
    <w:r>
      <w:rPr>
        <w:rFonts w:ascii="Aptos" w:hAnsi="Aptos"/>
        <w:b/>
        <w:color w:val="18426E"/>
        <w:sz w:val="18"/>
      </w:rPr>
      <w:t xml:space="preserve">  FOR OUR CHILDREN &amp; FAMILIES</w:t>
    </w:r>
    <w:r>
      <w:rPr>
        <w:rFonts w:ascii="Aptos" w:hAnsi="Aptos"/>
        <w:color w:val="767D86"/>
        <w:sz w:val="18"/>
      </w:rPr>
      <w:t xml:space="preserve">   COMPLETE FAMILY BINDER EDITION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80"/>
    </w:pPr>
    <w:rPr>
      <w:rFonts w:ascii="Aptos" w:hAnsi="Aptos"/>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FOCAFTitle">
    <w:name w:val="FOCAFTitle"/>
    <w:basedOn w:val="Normal"/>
    <w:pPr>
      <w:spacing w:after="160"/>
    </w:pPr>
    <w:rPr>
      <w:rFonts w:ascii="Georgia" w:hAnsi="Georgia"/>
      <w:b/>
      <w:color w:val="18426E"/>
      <w:sz w:val="48"/>
    </w:rPr>
  </w:style>
  <w:style w:type="paragraph" w:customStyle="1" w:styleId="FOCAFSubtitle">
    <w:name w:val="FOCAFSubtitle"/>
    <w:basedOn w:val="Normal"/>
    <w:pPr>
      <w:spacing w:after="160"/>
    </w:pPr>
    <w:rPr>
      <w:rFonts w:ascii="Aptos" w:hAnsi="Aptos"/>
      <w:i/>
      <w:color w:val="58606B"/>
      <w:sz w:val="26"/>
    </w:rPr>
  </w:style>
  <w:style w:type="paragraph" w:customStyle="1" w:styleId="FOCAFHeading1">
    <w:name w:val="FOCAFHeading1"/>
    <w:basedOn w:val="Normal"/>
    <w:pPr>
      <w:spacing w:after="160"/>
    </w:pPr>
    <w:rPr>
      <w:rFonts w:ascii="Georgia" w:hAnsi="Georgia"/>
      <w:b/>
      <w:color w:val="18426E"/>
      <w:sz w:val="40"/>
    </w:rPr>
  </w:style>
  <w:style w:type="paragraph" w:customStyle="1" w:styleId="FOCAFHeading2">
    <w:name w:val="FOCAFHeading2"/>
    <w:basedOn w:val="Normal"/>
    <w:rPr>
      <w:rFonts w:ascii="Georgia" w:hAnsi="Georgia"/>
      <w:b/>
      <w:color w:val="203D5C"/>
      <w:sz w:val="28"/>
    </w:rPr>
  </w:style>
  <w:style w:type="paragraph" w:customStyle="1" w:styleId="FOCAFSmall">
    <w:name w:val="FOCAFSmall"/>
    <w:basedOn w:val="Normal"/>
    <w:rPr>
      <w:rFonts w:ascii="Aptos" w:hAnsi="Aptos"/>
      <w:color w:val="5F6670"/>
      <w:sz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